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37" w:rsidRPr="00E00BE3" w:rsidRDefault="00ED6B62" w:rsidP="00E00BE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-61595</wp:posOffset>
            </wp:positionV>
            <wp:extent cx="933450" cy="742950"/>
            <wp:effectExtent l="19050" t="0" r="0" b="0"/>
            <wp:wrapNone/>
            <wp:docPr id="1" name="Image 5" descr="https://www.univ-tiaret.dz/ar/assets/images/logotrans-1-10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niv-tiaret.dz/ar/assets/images/logotrans-1-100x7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BE3" w:rsidRPr="00E00BE3">
        <w:rPr>
          <w:rFonts w:asciiTheme="majorBidi" w:hAnsiTheme="majorBidi" w:cstheme="majorBidi"/>
          <w:sz w:val="24"/>
          <w:szCs w:val="24"/>
        </w:rPr>
        <w:t>Université Ibn khaldoun Tiaret</w:t>
      </w:r>
    </w:p>
    <w:p w:rsidR="00E00BE3" w:rsidRPr="00E00BE3" w:rsidRDefault="00E00BE3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Faculté de sciences de vie et de la nature</w:t>
      </w:r>
    </w:p>
    <w:p w:rsidR="00E00BE3" w:rsidRPr="00E00BE3" w:rsidRDefault="00E00BE3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Département de Nutrition et téchnologie Agoalimentaire</w:t>
      </w:r>
    </w:p>
    <w:p w:rsidR="00E00BE3" w:rsidRPr="00E00BE3" w:rsidRDefault="00E00BE3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Matière : chimie du sol</w:t>
      </w:r>
    </w:p>
    <w:p w:rsidR="00E00BE3" w:rsidRPr="00E00BE3" w:rsidRDefault="00E00BE3" w:rsidP="00E00BE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Corrigé-type d’examen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Exercice n°1 :</w:t>
      </w:r>
    </w:p>
    <w:p w:rsidR="00A54F03" w:rsidRPr="00E00BE3" w:rsidRDefault="00E2304C" w:rsidP="00E00BE3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F22000" w:rsidRPr="00E00BE3">
        <w:rPr>
          <w:rFonts w:asciiTheme="majorBidi" w:hAnsiTheme="majorBidi" w:cstheme="majorBidi"/>
          <w:b/>
          <w:bCs/>
          <w:sz w:val="24"/>
          <w:szCs w:val="24"/>
        </w:rPr>
        <w:t>)-</w:t>
      </w:r>
      <w:r w:rsidRPr="00E00BE3">
        <w:rPr>
          <w:rFonts w:asciiTheme="majorBidi" w:hAnsiTheme="majorBidi" w:cstheme="majorBidi"/>
          <w:sz w:val="24"/>
          <w:szCs w:val="24"/>
        </w:rPr>
        <w:t xml:space="preserve"> </w:t>
      </w:r>
      <w:r w:rsidR="008E2743" w:rsidRPr="00E00BE3">
        <w:rPr>
          <w:rFonts w:asciiTheme="majorBidi" w:hAnsiTheme="majorBidi" w:cstheme="majorBidi"/>
          <w:b/>
          <w:bCs/>
          <w:sz w:val="24"/>
          <w:szCs w:val="24"/>
        </w:rPr>
        <w:t>Définition de phénomène d’échange :</w:t>
      </w:r>
      <w:r w:rsidR="008E2743" w:rsidRPr="00E00BE3">
        <w:rPr>
          <w:rFonts w:asciiTheme="majorBidi" w:hAnsiTheme="majorBidi" w:cstheme="majorBidi"/>
          <w:sz w:val="24"/>
          <w:szCs w:val="24"/>
        </w:rPr>
        <w:t xml:space="preserve"> le sol, et dans le sol, essentienllement les fractions argileuse et organique, possèdent la propriété de retenir diverses substances. </w:t>
      </w:r>
      <w:r w:rsidRPr="00E00BE3">
        <w:rPr>
          <w:rFonts w:asciiTheme="majorBidi" w:hAnsiTheme="majorBidi" w:cstheme="majorBidi"/>
          <w:sz w:val="24"/>
          <w:szCs w:val="24"/>
        </w:rPr>
        <w:t>Cette fixation (adsorption) porte surtout sur des anions et des cations.</w:t>
      </w:r>
      <w:r w:rsidR="00F1725F" w:rsidRPr="00E00BE3">
        <w:rPr>
          <w:rFonts w:asciiTheme="majorBidi" w:hAnsiTheme="majorBidi" w:cstheme="majorBidi"/>
          <w:sz w:val="24"/>
          <w:szCs w:val="24"/>
        </w:rPr>
        <w:t xml:space="preserve"> </w:t>
      </w:r>
      <w:r w:rsidR="00F1725F" w:rsidRPr="00E00BE3">
        <w:rPr>
          <w:rFonts w:asciiTheme="majorBidi" w:hAnsiTheme="majorBidi" w:cstheme="majorBidi"/>
          <w:b/>
          <w:bCs/>
          <w:color w:val="FF0000"/>
          <w:sz w:val="24"/>
          <w:szCs w:val="24"/>
        </w:rPr>
        <w:t>(1 pt)</w:t>
      </w:r>
    </w:p>
    <w:p w:rsidR="00667B37" w:rsidRPr="00E00BE3" w:rsidRDefault="00E2304C" w:rsidP="00E00B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F22000" w:rsidRPr="00E00BE3">
        <w:rPr>
          <w:rFonts w:asciiTheme="majorBidi" w:hAnsiTheme="majorBidi" w:cstheme="majorBidi"/>
          <w:b/>
          <w:bCs/>
          <w:sz w:val="24"/>
          <w:szCs w:val="24"/>
        </w:rPr>
        <w:t>)-</w:t>
      </w:r>
      <w:r w:rsidR="00E00BE3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Pr="00E00BE3">
        <w:rPr>
          <w:rFonts w:asciiTheme="majorBidi" w:hAnsiTheme="majorBidi" w:cstheme="majorBidi"/>
          <w:b/>
          <w:bCs/>
          <w:sz w:val="24"/>
          <w:szCs w:val="24"/>
        </w:rPr>
        <w:t>es causes d’échanges d’ions dans le cas des argiles :</w:t>
      </w:r>
    </w:p>
    <w:p w:rsidR="00C95D49" w:rsidRPr="00E00BE3" w:rsidRDefault="00C95D49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 xml:space="preserve">- </w:t>
      </w:r>
      <w:r w:rsidR="00667B37" w:rsidRPr="00E00BE3">
        <w:rPr>
          <w:rFonts w:asciiTheme="majorBidi" w:hAnsiTheme="majorBidi" w:cstheme="majorBidi"/>
          <w:sz w:val="24"/>
          <w:szCs w:val="24"/>
        </w:rPr>
        <w:t xml:space="preserve">Substitutions isomorphiques </w:t>
      </w:r>
    </w:p>
    <w:p w:rsidR="00C95D49" w:rsidRPr="00E00BE3" w:rsidRDefault="00C95D49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- L</w:t>
      </w:r>
      <w:r w:rsidR="00667B37" w:rsidRPr="00E00BE3">
        <w:rPr>
          <w:rFonts w:asciiTheme="majorBidi" w:hAnsiTheme="majorBidi" w:cstheme="majorBidi"/>
          <w:sz w:val="24"/>
          <w:szCs w:val="24"/>
        </w:rPr>
        <w:t xml:space="preserve">iaisons de bordures </w:t>
      </w:r>
    </w:p>
    <w:p w:rsidR="00667B37" w:rsidRPr="00E00BE3" w:rsidRDefault="00C95D49" w:rsidP="00E00BE3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- L</w:t>
      </w:r>
      <w:r w:rsidR="00667B37" w:rsidRPr="00E00BE3">
        <w:rPr>
          <w:rFonts w:asciiTheme="majorBidi" w:hAnsiTheme="majorBidi" w:cstheme="majorBidi"/>
          <w:sz w:val="24"/>
          <w:szCs w:val="24"/>
        </w:rPr>
        <w:t xml:space="preserve">a </w:t>
      </w:r>
      <w:r w:rsidR="00F1725F" w:rsidRPr="00E00BE3">
        <w:rPr>
          <w:rFonts w:asciiTheme="majorBidi" w:hAnsiTheme="majorBidi" w:cstheme="majorBidi"/>
          <w:sz w:val="24"/>
          <w:szCs w:val="24"/>
        </w:rPr>
        <w:t>dissociation</w:t>
      </w:r>
      <w:r w:rsidR="00E00BE3">
        <w:rPr>
          <w:rFonts w:asciiTheme="majorBidi" w:hAnsiTheme="majorBidi" w:cstheme="majorBidi"/>
          <w:sz w:val="24"/>
          <w:szCs w:val="24"/>
        </w:rPr>
        <w:t xml:space="preserve"> des hydroxyles</w:t>
      </w:r>
      <w:r w:rsidR="00F1725F" w:rsidRPr="00E00B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1725F" w:rsidRPr="00E00BE3">
        <w:rPr>
          <w:rFonts w:asciiTheme="majorBidi" w:hAnsiTheme="majorBidi" w:cstheme="majorBidi"/>
          <w:b/>
          <w:bCs/>
          <w:color w:val="FF0000"/>
          <w:sz w:val="24"/>
          <w:szCs w:val="24"/>
        </w:rPr>
        <w:t>(1,5 pts)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F22000" w:rsidRPr="00E00BE3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E00BE3">
        <w:rPr>
          <w:rFonts w:asciiTheme="majorBidi" w:hAnsiTheme="majorBidi" w:cstheme="majorBidi"/>
          <w:b/>
          <w:bCs/>
          <w:sz w:val="24"/>
          <w:szCs w:val="24"/>
        </w:rPr>
        <w:t>- Facteurs influencant la capacité d’échange :</w:t>
      </w:r>
    </w:p>
    <w:p w:rsidR="00415CE4" w:rsidRPr="00E00BE3" w:rsidRDefault="00415CE4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-</w:t>
      </w:r>
      <w:r w:rsidRPr="00E00B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00BE3">
        <w:rPr>
          <w:rFonts w:asciiTheme="majorBidi" w:hAnsiTheme="majorBidi" w:cstheme="majorBidi"/>
          <w:sz w:val="24"/>
          <w:szCs w:val="24"/>
        </w:rPr>
        <w:t>La taille.</w:t>
      </w:r>
    </w:p>
    <w:p w:rsidR="00415CE4" w:rsidRPr="00E00BE3" w:rsidRDefault="00415CE4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- Le Ph.</w:t>
      </w:r>
    </w:p>
    <w:p w:rsidR="00667B37" w:rsidRPr="00E00BE3" w:rsidRDefault="00415CE4" w:rsidP="00E00BE3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 xml:space="preserve">- Les cations échangéables. </w:t>
      </w:r>
      <w:r w:rsidR="00F1725F" w:rsidRPr="00E00BE3">
        <w:rPr>
          <w:rFonts w:asciiTheme="majorBidi" w:hAnsiTheme="majorBidi" w:cstheme="majorBidi"/>
          <w:b/>
          <w:bCs/>
          <w:color w:val="FF0000"/>
          <w:sz w:val="24"/>
          <w:szCs w:val="24"/>
        </w:rPr>
        <w:t>(3 pts)</w:t>
      </w:r>
    </w:p>
    <w:p w:rsidR="00E2304C" w:rsidRPr="00E00BE3" w:rsidRDefault="00667B37" w:rsidP="00E00B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F22000" w:rsidRPr="00E00BE3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E00BE3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E2304C" w:rsidRPr="00E00BE3">
        <w:rPr>
          <w:rFonts w:asciiTheme="majorBidi" w:hAnsiTheme="majorBidi" w:cstheme="majorBidi"/>
          <w:b/>
          <w:bCs/>
          <w:sz w:val="24"/>
          <w:szCs w:val="24"/>
        </w:rPr>
        <w:t xml:space="preserve"> la capacité d’échange de la matière organique est due :</w:t>
      </w:r>
    </w:p>
    <w:p w:rsidR="00E2304C" w:rsidRPr="00E00BE3" w:rsidRDefault="00E2304C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1- Aux groupes carboxyles liés à différents composés, qui peuvent se dissocier et libérer des ions H</w:t>
      </w:r>
      <w:r w:rsidRPr="00E00BE3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E00BE3">
        <w:rPr>
          <w:rFonts w:asciiTheme="majorBidi" w:hAnsiTheme="majorBidi" w:cstheme="majorBidi"/>
          <w:sz w:val="24"/>
          <w:szCs w:val="24"/>
        </w:rPr>
        <w:t xml:space="preserve"> à des PH inferieurs à  6.</w:t>
      </w:r>
    </w:p>
    <w:p w:rsidR="00E2304C" w:rsidRPr="00E00BE3" w:rsidRDefault="00E2304C" w:rsidP="00E00BE3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 xml:space="preserve">2- Aux hydroxyles liés égalamant </w:t>
      </w:r>
      <w:r w:rsidR="00667B37" w:rsidRPr="00E00BE3">
        <w:rPr>
          <w:rFonts w:asciiTheme="majorBidi" w:hAnsiTheme="majorBidi" w:cstheme="majorBidi"/>
          <w:sz w:val="24"/>
          <w:szCs w:val="24"/>
        </w:rPr>
        <w:t>à différents composés de la matière organique, et qui peuvent se dissocier à des pH superieurs à 6 et de plus en plus quand le pH croit.</w:t>
      </w:r>
      <w:r w:rsidR="00F1725F" w:rsidRPr="00E00BE3">
        <w:rPr>
          <w:rFonts w:asciiTheme="majorBidi" w:hAnsiTheme="majorBidi" w:cstheme="majorBidi"/>
          <w:sz w:val="24"/>
          <w:szCs w:val="24"/>
        </w:rPr>
        <w:t xml:space="preserve"> </w:t>
      </w:r>
      <w:r w:rsidR="00F1725F" w:rsidRPr="00E00BE3">
        <w:rPr>
          <w:rFonts w:asciiTheme="majorBidi" w:hAnsiTheme="majorBidi" w:cstheme="majorBidi"/>
          <w:b/>
          <w:bCs/>
          <w:color w:val="FF0000"/>
          <w:sz w:val="24"/>
          <w:szCs w:val="24"/>
        </w:rPr>
        <w:t>(2 pts)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Exercice n°2 :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F22000" w:rsidRPr="00E00BE3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00BE3">
        <w:rPr>
          <w:rFonts w:asciiTheme="majorBidi" w:hAnsiTheme="majorBidi" w:cstheme="majorBidi"/>
          <w:b/>
          <w:bCs/>
          <w:sz w:val="24"/>
          <w:szCs w:val="24"/>
        </w:rPr>
        <w:t>- L</w:t>
      </w:r>
      <w:r w:rsidRPr="00E00BE3">
        <w:rPr>
          <w:rFonts w:asciiTheme="majorBidi" w:hAnsiTheme="majorBidi" w:cstheme="majorBidi"/>
          <w:b/>
          <w:bCs/>
          <w:sz w:val="24"/>
          <w:szCs w:val="24"/>
        </w:rPr>
        <w:t>es types de processus d’adsorption :</w:t>
      </w:r>
      <w:r w:rsidR="00F1725F" w:rsidRPr="00E00BE3">
        <w:rPr>
          <w:rFonts w:asciiTheme="majorBidi" w:hAnsiTheme="majorBidi" w:cstheme="majorBidi"/>
          <w:sz w:val="24"/>
          <w:szCs w:val="24"/>
        </w:rPr>
        <w:t xml:space="preserve"> </w:t>
      </w:r>
      <w:r w:rsidR="00F1725F" w:rsidRPr="00E00BE3">
        <w:rPr>
          <w:rFonts w:asciiTheme="majorBidi" w:hAnsiTheme="majorBidi" w:cstheme="majorBidi"/>
          <w:b/>
          <w:bCs/>
          <w:color w:val="FF0000"/>
          <w:sz w:val="24"/>
          <w:szCs w:val="24"/>
        </w:rPr>
        <w:t>(2 pts)</w:t>
      </w:r>
    </w:p>
    <w:p w:rsidR="005B2D74" w:rsidRPr="00E00BE3" w:rsidRDefault="005B2D74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-</w:t>
      </w:r>
      <w:r w:rsidRPr="00E00BE3">
        <w:rPr>
          <w:rFonts w:asciiTheme="majorBidi" w:hAnsiTheme="majorBidi" w:cstheme="majorBidi"/>
          <w:b/>
          <w:bCs/>
          <w:sz w:val="24"/>
          <w:szCs w:val="24"/>
        </w:rPr>
        <w:t xml:space="preserve"> Adsorption physique ou physisorption : </w:t>
      </w:r>
      <w:r w:rsidRPr="00E00BE3">
        <w:rPr>
          <w:rFonts w:asciiTheme="majorBidi" w:hAnsiTheme="majorBidi" w:cstheme="majorBidi"/>
          <w:sz w:val="24"/>
          <w:szCs w:val="24"/>
        </w:rPr>
        <w:t>la fixation des molécules d’adsorbat sur la surface d’adsor</w:t>
      </w:r>
      <w:r w:rsidR="00415CE4" w:rsidRPr="00E00BE3">
        <w:rPr>
          <w:rFonts w:asciiTheme="majorBidi" w:hAnsiTheme="majorBidi" w:cstheme="majorBidi"/>
          <w:sz w:val="24"/>
          <w:szCs w:val="24"/>
        </w:rPr>
        <w:t>bant se fait essentiellement grâ</w:t>
      </w:r>
      <w:r w:rsidRPr="00E00BE3">
        <w:rPr>
          <w:rFonts w:asciiTheme="majorBidi" w:hAnsiTheme="majorBidi" w:cstheme="majorBidi"/>
          <w:sz w:val="24"/>
          <w:szCs w:val="24"/>
        </w:rPr>
        <w:t>ce aux forces de Van der Waals et aux forces dues aux interactions éléctro</w:t>
      </w:r>
      <w:r w:rsidR="00373C43">
        <w:rPr>
          <w:rFonts w:asciiTheme="majorBidi" w:hAnsiTheme="majorBidi" w:cstheme="majorBidi"/>
          <w:sz w:val="24"/>
          <w:szCs w:val="24"/>
        </w:rPr>
        <w:t>statiques de polorisation, pour</w:t>
      </w:r>
      <w:r w:rsidRPr="00E00BE3">
        <w:rPr>
          <w:rFonts w:asciiTheme="majorBidi" w:hAnsiTheme="majorBidi" w:cstheme="majorBidi"/>
          <w:sz w:val="24"/>
          <w:szCs w:val="24"/>
        </w:rPr>
        <w:t xml:space="preserve"> </w:t>
      </w:r>
      <w:r w:rsidR="00373C43">
        <w:rPr>
          <w:rFonts w:asciiTheme="majorBidi" w:hAnsiTheme="majorBidi" w:cstheme="majorBidi"/>
          <w:sz w:val="24"/>
          <w:szCs w:val="24"/>
        </w:rPr>
        <w:t>les</w:t>
      </w:r>
      <w:r w:rsidRPr="00E00BE3">
        <w:rPr>
          <w:rFonts w:asciiTheme="majorBidi" w:hAnsiTheme="majorBidi" w:cstheme="majorBidi"/>
          <w:sz w:val="24"/>
          <w:szCs w:val="24"/>
        </w:rPr>
        <w:t xml:space="preserve"> adsorbants ayant une structure ionique.</w:t>
      </w:r>
    </w:p>
    <w:p w:rsidR="005B2D74" w:rsidRPr="00E00BE3" w:rsidRDefault="005B2D74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 xml:space="preserve">- </w:t>
      </w:r>
      <w:r w:rsidRPr="00E00BE3">
        <w:rPr>
          <w:rFonts w:asciiTheme="majorBidi" w:hAnsiTheme="majorBidi" w:cstheme="majorBidi"/>
          <w:b/>
          <w:bCs/>
          <w:sz w:val="24"/>
          <w:szCs w:val="24"/>
        </w:rPr>
        <w:t>Adsorption chimique ou chimisorption :</w:t>
      </w:r>
      <w:r w:rsidRPr="00E00BE3">
        <w:rPr>
          <w:rFonts w:asciiTheme="majorBidi" w:hAnsiTheme="majorBidi" w:cstheme="majorBidi"/>
          <w:sz w:val="24"/>
          <w:szCs w:val="24"/>
        </w:rPr>
        <w:t xml:space="preserve"> le processus</w:t>
      </w:r>
      <w:r w:rsidRPr="00E00B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00BE3">
        <w:rPr>
          <w:rFonts w:asciiTheme="majorBidi" w:hAnsiTheme="majorBidi" w:cstheme="majorBidi"/>
          <w:sz w:val="24"/>
          <w:szCs w:val="24"/>
        </w:rPr>
        <w:t>résulte d’une réaction chimique avec formation de liaisons chimiques entre les molécules d’adsorbat et la surface d’dsorbant.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F22000" w:rsidRPr="00E00BE3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E00BE3">
        <w:rPr>
          <w:rFonts w:asciiTheme="majorBidi" w:hAnsiTheme="majorBidi" w:cstheme="majorBidi"/>
          <w:b/>
          <w:bCs/>
          <w:sz w:val="24"/>
          <w:szCs w:val="24"/>
        </w:rPr>
        <w:t>- Comparaison entre l’adsorption physique et l’adsorption chimique :</w:t>
      </w:r>
      <w:r w:rsidR="00F1725F" w:rsidRPr="00E00BE3">
        <w:rPr>
          <w:rFonts w:asciiTheme="majorBidi" w:hAnsiTheme="majorBidi" w:cstheme="majorBidi"/>
          <w:sz w:val="24"/>
          <w:szCs w:val="24"/>
        </w:rPr>
        <w:t xml:space="preserve"> </w:t>
      </w:r>
      <w:r w:rsidR="00F1725F" w:rsidRPr="00E00BE3">
        <w:rPr>
          <w:rFonts w:asciiTheme="majorBidi" w:hAnsiTheme="majorBidi" w:cstheme="majorBidi"/>
          <w:b/>
          <w:bCs/>
          <w:color w:val="FF0000"/>
          <w:sz w:val="24"/>
          <w:szCs w:val="24"/>
        </w:rPr>
        <w:t>(2,5 pts)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962"/>
        <w:gridCol w:w="3071"/>
        <w:gridCol w:w="3071"/>
      </w:tblGrid>
      <w:tr w:rsidR="00667B37" w:rsidRPr="00E00BE3" w:rsidTr="00667B37">
        <w:tc>
          <w:tcPr>
            <w:tcW w:w="2962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Propriétés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Adorption physique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Adorption chimique</w:t>
            </w:r>
          </w:p>
        </w:tc>
      </w:tr>
      <w:tr w:rsidR="00667B37" w:rsidRPr="00E00BE3" w:rsidTr="00667B37">
        <w:tc>
          <w:tcPr>
            <w:tcW w:w="2962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 xml:space="preserve">Individualité des molécules 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conservée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Non conservée</w:t>
            </w:r>
          </w:p>
        </w:tc>
      </w:tr>
      <w:tr w:rsidR="00667B37" w:rsidRPr="00E00BE3" w:rsidTr="00667B37">
        <w:tc>
          <w:tcPr>
            <w:tcW w:w="2962" w:type="dxa"/>
          </w:tcPr>
          <w:p w:rsidR="00667B37" w:rsidRPr="00E00BE3" w:rsidRDefault="007D566B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667B37" w:rsidRPr="00E00BE3">
              <w:rPr>
                <w:rFonts w:asciiTheme="majorBidi" w:hAnsiTheme="majorBidi" w:cstheme="majorBidi"/>
                <w:sz w:val="24"/>
                <w:szCs w:val="24"/>
              </w:rPr>
              <w:t>ésortion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facile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Difficile</w:t>
            </w:r>
          </w:p>
        </w:tc>
      </w:tr>
      <w:tr w:rsidR="00667B37" w:rsidRPr="00E00BE3" w:rsidTr="00667B37">
        <w:tc>
          <w:tcPr>
            <w:tcW w:w="2962" w:type="dxa"/>
          </w:tcPr>
          <w:p w:rsidR="00667B37" w:rsidRPr="00E00BE3" w:rsidRDefault="007D566B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667B37" w:rsidRPr="00E00BE3">
              <w:rPr>
                <w:rFonts w:asciiTheme="majorBidi" w:hAnsiTheme="majorBidi" w:cstheme="majorBidi"/>
                <w:sz w:val="24"/>
                <w:szCs w:val="24"/>
              </w:rPr>
              <w:t>inétique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Rapide et indépendante de la température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Très lente</w:t>
            </w:r>
          </w:p>
        </w:tc>
      </w:tr>
      <w:tr w:rsidR="00667B37" w:rsidRPr="00E00BE3" w:rsidTr="00667B37">
        <w:tc>
          <w:tcPr>
            <w:tcW w:w="2962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Energie mise en jeu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faible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élevée</w:t>
            </w:r>
          </w:p>
        </w:tc>
      </w:tr>
      <w:tr w:rsidR="00667B37" w:rsidRPr="00E00BE3" w:rsidTr="00667B37">
        <w:tc>
          <w:tcPr>
            <w:tcW w:w="2962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Type de formation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Formation en monocouches et multicouches</w:t>
            </w:r>
          </w:p>
        </w:tc>
        <w:tc>
          <w:tcPr>
            <w:tcW w:w="3071" w:type="dxa"/>
          </w:tcPr>
          <w:p w:rsidR="00667B37" w:rsidRPr="00E00BE3" w:rsidRDefault="00667B37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Formation en monocouches</w:t>
            </w:r>
          </w:p>
        </w:tc>
      </w:tr>
    </w:tbl>
    <w:p w:rsidR="00667B37" w:rsidRPr="00E00BE3" w:rsidRDefault="00E00BE3" w:rsidP="00E00B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3)- L</w:t>
      </w:r>
      <w:r w:rsidR="00667B37" w:rsidRPr="00E00BE3">
        <w:rPr>
          <w:rFonts w:asciiTheme="majorBidi" w:hAnsiTheme="majorBidi" w:cstheme="majorBidi"/>
          <w:b/>
          <w:bCs/>
          <w:sz w:val="24"/>
          <w:szCs w:val="24"/>
        </w:rPr>
        <w:t xml:space="preserve">es étapes d’adsorption d’un </w:t>
      </w:r>
      <w:r w:rsidR="00F73BA8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667B37" w:rsidRPr="00E00BE3">
        <w:rPr>
          <w:rFonts w:asciiTheme="majorBidi" w:hAnsiTheme="majorBidi" w:cstheme="majorBidi"/>
          <w:b/>
          <w:bCs/>
          <w:sz w:val="24"/>
          <w:szCs w:val="24"/>
        </w:rPr>
        <w:t>dsorbat sur un adsorbant :</w:t>
      </w:r>
      <w:r w:rsidR="00F1725F" w:rsidRPr="00E00BE3">
        <w:rPr>
          <w:rFonts w:asciiTheme="majorBidi" w:hAnsiTheme="majorBidi" w:cstheme="majorBidi"/>
          <w:sz w:val="24"/>
          <w:szCs w:val="24"/>
        </w:rPr>
        <w:t xml:space="preserve"> </w:t>
      </w:r>
      <w:r w:rsidR="00F1725F" w:rsidRPr="00E00BE3">
        <w:rPr>
          <w:rFonts w:asciiTheme="majorBidi" w:hAnsiTheme="majorBidi" w:cstheme="majorBidi"/>
          <w:b/>
          <w:bCs/>
          <w:color w:val="FF0000"/>
          <w:sz w:val="24"/>
          <w:szCs w:val="24"/>
        </w:rPr>
        <w:t>(2 pts)</w:t>
      </w:r>
    </w:p>
    <w:p w:rsidR="00667B37" w:rsidRPr="00E00BE3" w:rsidRDefault="00C95D49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1- P</w:t>
      </w:r>
      <w:r w:rsidR="00667B37" w:rsidRPr="00E00BE3">
        <w:rPr>
          <w:rFonts w:asciiTheme="majorBidi" w:hAnsiTheme="majorBidi" w:cstheme="majorBidi"/>
          <w:sz w:val="24"/>
          <w:szCs w:val="24"/>
        </w:rPr>
        <w:t>hase liquide</w:t>
      </w:r>
    </w:p>
    <w:p w:rsidR="00667B37" w:rsidRPr="00E00BE3" w:rsidRDefault="00C95D49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2- F</w:t>
      </w:r>
      <w:r w:rsidR="00667B37" w:rsidRPr="00E00BE3">
        <w:rPr>
          <w:rFonts w:asciiTheme="majorBidi" w:hAnsiTheme="majorBidi" w:cstheme="majorBidi"/>
          <w:sz w:val="24"/>
          <w:szCs w:val="24"/>
        </w:rPr>
        <w:t>ilm liquide externe</w:t>
      </w:r>
    </w:p>
    <w:p w:rsidR="00667B37" w:rsidRPr="00E00BE3" w:rsidRDefault="00C95D49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3- D</w:t>
      </w:r>
      <w:r w:rsidR="00667B37" w:rsidRPr="00E00BE3">
        <w:rPr>
          <w:rFonts w:asciiTheme="majorBidi" w:hAnsiTheme="majorBidi" w:cstheme="majorBidi"/>
          <w:sz w:val="24"/>
          <w:szCs w:val="24"/>
        </w:rPr>
        <w:t>iffusion intraparticulaire</w:t>
      </w:r>
    </w:p>
    <w:p w:rsidR="00667B37" w:rsidRPr="00E00BE3" w:rsidRDefault="00C95D49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4- A</w:t>
      </w:r>
      <w:r w:rsidR="00667B37" w:rsidRPr="00E00BE3">
        <w:rPr>
          <w:rFonts w:asciiTheme="majorBidi" w:hAnsiTheme="majorBidi" w:cstheme="majorBidi"/>
          <w:sz w:val="24"/>
          <w:szCs w:val="24"/>
        </w:rPr>
        <w:t>dsorption</w:t>
      </w:r>
    </w:p>
    <w:p w:rsidR="00667B37" w:rsidRPr="00E00BE3" w:rsidRDefault="00E00BE3" w:rsidP="00E00BE3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4)- L</w:t>
      </w:r>
      <w:r w:rsidR="00667B37" w:rsidRPr="00E00BE3">
        <w:rPr>
          <w:rFonts w:asciiTheme="majorBidi" w:hAnsiTheme="majorBidi" w:cstheme="majorBidi"/>
          <w:b/>
          <w:bCs/>
          <w:sz w:val="24"/>
          <w:szCs w:val="24"/>
        </w:rPr>
        <w:t>es mécanismes d’adsorption dans le sol :</w:t>
      </w:r>
      <w:r w:rsidR="00F1725F" w:rsidRPr="00E00BE3">
        <w:rPr>
          <w:rFonts w:asciiTheme="majorBidi" w:hAnsiTheme="majorBidi" w:cstheme="majorBidi"/>
          <w:sz w:val="24"/>
          <w:szCs w:val="24"/>
        </w:rPr>
        <w:t xml:space="preserve"> </w:t>
      </w:r>
      <w:r w:rsidR="00F1725F" w:rsidRPr="00E00BE3">
        <w:rPr>
          <w:rFonts w:asciiTheme="majorBidi" w:hAnsiTheme="majorBidi" w:cstheme="majorBidi"/>
          <w:b/>
          <w:bCs/>
          <w:color w:val="FF0000"/>
          <w:sz w:val="24"/>
          <w:szCs w:val="24"/>
        </w:rPr>
        <w:t>(1.5 pts)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a- Liaisons ioniques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b- Liaisons hydrogène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c-</w:t>
      </w:r>
      <w:r w:rsidR="00C95D49" w:rsidRPr="00E00BE3">
        <w:rPr>
          <w:rFonts w:asciiTheme="majorBidi" w:hAnsiTheme="majorBidi" w:cstheme="majorBidi"/>
          <w:sz w:val="24"/>
          <w:szCs w:val="24"/>
        </w:rPr>
        <w:t xml:space="preserve"> </w:t>
      </w:r>
      <w:r w:rsidRPr="00E00BE3">
        <w:rPr>
          <w:rFonts w:asciiTheme="majorBidi" w:hAnsiTheme="majorBidi" w:cstheme="majorBidi"/>
          <w:sz w:val="24"/>
          <w:szCs w:val="24"/>
        </w:rPr>
        <w:t>Interactions avec cations métalliques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d- Liaisons de London –Van der Waals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e- Interactions hydrophobes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sz w:val="24"/>
          <w:szCs w:val="24"/>
        </w:rPr>
        <w:t>f- Liaisons covalentes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Exercice n°3 :</w:t>
      </w:r>
    </w:p>
    <w:p w:rsidR="00667B37" w:rsidRPr="00E00BE3" w:rsidRDefault="00667B37" w:rsidP="00E00BE3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1)- La courbe de la cinétique d’adsorption :</w:t>
      </w:r>
      <w:r w:rsidR="00415CE4" w:rsidRPr="00E00B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15CE4" w:rsidRPr="00E00BE3">
        <w:rPr>
          <w:rFonts w:asciiTheme="majorBidi" w:hAnsiTheme="majorBidi" w:cstheme="majorBidi"/>
          <w:b/>
          <w:bCs/>
          <w:color w:val="FF0000"/>
          <w:sz w:val="24"/>
          <w:szCs w:val="24"/>
        </w:rPr>
        <w:t>(1.5 pts)</w:t>
      </w:r>
    </w:p>
    <w:p w:rsidR="00704EDD" w:rsidRPr="00E00BE3" w:rsidRDefault="00E00BE3" w:rsidP="00FE7986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3617697" cy="2412125"/>
            <wp:effectExtent l="19050" t="0" r="1803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98" cy="2412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000" w:rsidRPr="00E00BE3" w:rsidRDefault="00415CE4" w:rsidP="00FE7986">
      <w:pPr>
        <w:jc w:val="center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 xml:space="preserve">Figure01 : </w:t>
      </w:r>
      <w:r w:rsidRPr="00E00BE3">
        <w:rPr>
          <w:rFonts w:asciiTheme="majorBidi" w:hAnsiTheme="majorBidi" w:cstheme="majorBidi"/>
          <w:sz w:val="24"/>
          <w:szCs w:val="24"/>
        </w:rPr>
        <w:t>La c</w:t>
      </w:r>
      <w:r w:rsidR="00F22000" w:rsidRPr="00E00BE3">
        <w:rPr>
          <w:rFonts w:asciiTheme="majorBidi" w:hAnsiTheme="majorBidi" w:cstheme="majorBidi"/>
          <w:sz w:val="24"/>
          <w:szCs w:val="24"/>
        </w:rPr>
        <w:t>ourbe</w:t>
      </w:r>
      <w:r w:rsidRPr="00E00BE3">
        <w:rPr>
          <w:rFonts w:asciiTheme="majorBidi" w:hAnsiTheme="majorBidi" w:cstheme="majorBidi"/>
          <w:sz w:val="24"/>
          <w:szCs w:val="24"/>
        </w:rPr>
        <w:t xml:space="preserve"> de la cinétique d’adsorption.</w:t>
      </w:r>
    </w:p>
    <w:p w:rsidR="00415CE4" w:rsidRPr="00E00BE3" w:rsidRDefault="00415CE4" w:rsidP="00E00B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lastRenderedPageBreak/>
        <w:t>2)- La courbe du modèle cinétique de l’adsorption de Bleu de méthylène sur la smectite :</w:t>
      </w:r>
      <w:r w:rsidR="00704EDD" w:rsidRPr="00E00B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04EDD" w:rsidRPr="00E00BE3">
        <w:rPr>
          <w:rFonts w:asciiTheme="majorBidi" w:hAnsiTheme="majorBidi" w:cstheme="majorBidi"/>
          <w:b/>
          <w:bCs/>
          <w:color w:val="FF0000"/>
          <w:sz w:val="24"/>
          <w:szCs w:val="24"/>
        </w:rPr>
        <w:t>(2 pts)</w:t>
      </w:r>
    </w:p>
    <w:tbl>
      <w:tblPr>
        <w:tblStyle w:val="Grilledutableau"/>
        <w:tblW w:w="9728" w:type="dxa"/>
        <w:tblLook w:val="04A0"/>
      </w:tblPr>
      <w:tblGrid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5B2D74" w:rsidRPr="00E00BE3" w:rsidTr="006620E3">
        <w:trPr>
          <w:trHeight w:val="300"/>
        </w:trPr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Temps (min)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5B2D74" w:rsidRPr="00E00BE3" w:rsidTr="006620E3">
        <w:trPr>
          <w:trHeight w:val="300"/>
        </w:trPr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 xml:space="preserve">T/Qt 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0,0446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0,0820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0,1213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0,1610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0,3219</w:t>
            </w:r>
          </w:p>
        </w:tc>
        <w:tc>
          <w:tcPr>
            <w:tcW w:w="1216" w:type="dxa"/>
            <w:noWrap/>
            <w:hideMark/>
          </w:tcPr>
          <w:p w:rsidR="005B2D74" w:rsidRPr="00E00BE3" w:rsidRDefault="005B2D74" w:rsidP="00E00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0BE3">
              <w:rPr>
                <w:rFonts w:asciiTheme="majorBidi" w:hAnsiTheme="majorBidi" w:cstheme="majorBidi"/>
                <w:sz w:val="24"/>
                <w:szCs w:val="24"/>
              </w:rPr>
              <w:t>0,4829</w:t>
            </w:r>
          </w:p>
        </w:tc>
      </w:tr>
    </w:tbl>
    <w:p w:rsidR="00F22000" w:rsidRPr="00E00BE3" w:rsidRDefault="00F22000" w:rsidP="00E00BE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22000" w:rsidRPr="00E00BE3" w:rsidRDefault="00FE7986" w:rsidP="00FE798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914447" cy="2357104"/>
            <wp:effectExtent l="19050" t="0" r="0" b="0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27" cy="2358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CE4" w:rsidRPr="00E00BE3" w:rsidRDefault="00415CE4" w:rsidP="00FE7986">
      <w:pPr>
        <w:jc w:val="center"/>
        <w:rPr>
          <w:rFonts w:asciiTheme="majorBidi" w:hAnsiTheme="majorBidi" w:cstheme="majorBidi"/>
          <w:sz w:val="24"/>
          <w:szCs w:val="24"/>
        </w:rPr>
      </w:pPr>
      <w:r w:rsidRPr="00E00BE3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704EDD" w:rsidRPr="00E00BE3">
        <w:rPr>
          <w:rFonts w:asciiTheme="majorBidi" w:hAnsiTheme="majorBidi" w:cstheme="majorBidi"/>
          <w:b/>
          <w:bCs/>
          <w:sz w:val="24"/>
          <w:szCs w:val="24"/>
        </w:rPr>
        <w:t>ig</w:t>
      </w:r>
      <w:r w:rsidRPr="00E00BE3">
        <w:rPr>
          <w:rFonts w:asciiTheme="majorBidi" w:hAnsiTheme="majorBidi" w:cstheme="majorBidi"/>
          <w:b/>
          <w:bCs/>
          <w:sz w:val="24"/>
          <w:szCs w:val="24"/>
        </w:rPr>
        <w:t>ure0</w:t>
      </w:r>
      <w:r w:rsidR="00704EDD" w:rsidRPr="00E00BE3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00BE3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00BE3">
        <w:rPr>
          <w:rFonts w:asciiTheme="majorBidi" w:hAnsiTheme="majorBidi" w:cstheme="majorBidi"/>
          <w:sz w:val="24"/>
          <w:szCs w:val="24"/>
        </w:rPr>
        <w:t xml:space="preserve"> La courbe du modèle cinétique</w:t>
      </w:r>
      <w:r w:rsidR="00704EDD" w:rsidRPr="00E00BE3">
        <w:rPr>
          <w:rFonts w:asciiTheme="majorBidi" w:hAnsiTheme="majorBidi" w:cstheme="majorBidi"/>
          <w:sz w:val="24"/>
          <w:szCs w:val="24"/>
        </w:rPr>
        <w:t xml:space="preserve"> de premier ordre</w:t>
      </w:r>
      <w:r w:rsidRPr="00E00BE3">
        <w:rPr>
          <w:rFonts w:asciiTheme="majorBidi" w:hAnsiTheme="majorBidi" w:cstheme="majorBidi"/>
          <w:sz w:val="24"/>
          <w:szCs w:val="24"/>
        </w:rPr>
        <w:t xml:space="preserve"> de l’adsorption de Bleu de méthylène sur la smectite.</w:t>
      </w:r>
    </w:p>
    <w:sectPr w:rsidR="00415CE4" w:rsidRPr="00E00BE3" w:rsidSect="00F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1959"/>
    <w:multiLevelType w:val="hybridMultilevel"/>
    <w:tmpl w:val="302A33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743"/>
    <w:rsid w:val="00283E3C"/>
    <w:rsid w:val="002F4C31"/>
    <w:rsid w:val="00373C43"/>
    <w:rsid w:val="00414335"/>
    <w:rsid w:val="00415CE4"/>
    <w:rsid w:val="005B2D74"/>
    <w:rsid w:val="00667B37"/>
    <w:rsid w:val="00704EDD"/>
    <w:rsid w:val="007D566B"/>
    <w:rsid w:val="007E645F"/>
    <w:rsid w:val="008943A4"/>
    <w:rsid w:val="008D08C6"/>
    <w:rsid w:val="008E2743"/>
    <w:rsid w:val="00A54F03"/>
    <w:rsid w:val="00AF3DC3"/>
    <w:rsid w:val="00B9238D"/>
    <w:rsid w:val="00C955C7"/>
    <w:rsid w:val="00C95D49"/>
    <w:rsid w:val="00CF66D1"/>
    <w:rsid w:val="00E00BE3"/>
    <w:rsid w:val="00E2304C"/>
    <w:rsid w:val="00EC3D7F"/>
    <w:rsid w:val="00ED6B62"/>
    <w:rsid w:val="00F1725F"/>
    <w:rsid w:val="00F22000"/>
    <w:rsid w:val="00F468F9"/>
    <w:rsid w:val="00F73BA8"/>
    <w:rsid w:val="00F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0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2024-05-22T17:43:00Z</dcterms:created>
  <dcterms:modified xsi:type="dcterms:W3CDTF">2024-05-22T18:14:00Z</dcterms:modified>
</cp:coreProperties>
</file>